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71" w:rsidRDefault="00210471" w:rsidP="000D0DD6">
      <w:pPr>
        <w:spacing w:after="0" w:line="240" w:lineRule="auto"/>
        <w:jc w:val="center"/>
        <w:rPr>
          <w:rFonts w:ascii="Arial" w:hAnsi="Arial" w:cs="Arial"/>
          <w:b/>
          <w:lang w:val="pt-PT"/>
        </w:rPr>
      </w:pPr>
    </w:p>
    <w:p w:rsidR="00210471" w:rsidRDefault="00210471" w:rsidP="000D0DD6">
      <w:pPr>
        <w:spacing w:after="0" w:line="240" w:lineRule="auto"/>
        <w:jc w:val="center"/>
        <w:rPr>
          <w:rFonts w:ascii="Arial" w:hAnsi="Arial" w:cs="Arial"/>
          <w:b/>
          <w:lang w:val="pt-PT"/>
        </w:rPr>
      </w:pPr>
    </w:p>
    <w:p w:rsidR="000D0DD6" w:rsidRPr="00724252" w:rsidRDefault="000D0DD6" w:rsidP="000D0DD6">
      <w:pPr>
        <w:spacing w:after="0" w:line="240" w:lineRule="auto"/>
        <w:jc w:val="center"/>
        <w:rPr>
          <w:rFonts w:ascii="Arial" w:hAnsi="Arial" w:cs="Arial"/>
          <w:b/>
          <w:lang w:val="pt-PT"/>
        </w:rPr>
      </w:pPr>
      <w:r w:rsidRPr="00724252">
        <w:rPr>
          <w:rFonts w:ascii="Arial" w:hAnsi="Arial" w:cs="Arial"/>
          <w:b/>
          <w:lang w:val="pt-PT"/>
        </w:rPr>
        <w:t>Carta de Afirmaciones de la Administración Pública Municipal</w:t>
      </w:r>
    </w:p>
    <w:p w:rsidR="000D0DD6" w:rsidRPr="00724252" w:rsidRDefault="000D0DD6" w:rsidP="000D0DD6">
      <w:pPr>
        <w:spacing w:after="0" w:line="240" w:lineRule="auto"/>
        <w:jc w:val="center"/>
        <w:rPr>
          <w:rFonts w:ascii="Arial" w:hAnsi="Arial" w:cs="Arial"/>
          <w:b/>
          <w:lang w:val="pt-PT"/>
        </w:rPr>
      </w:pPr>
      <w:r w:rsidRPr="00724252">
        <w:rPr>
          <w:rFonts w:ascii="Arial" w:hAnsi="Arial" w:cs="Arial"/>
          <w:b/>
          <w:lang w:val="pt-PT"/>
        </w:rPr>
        <w:t>para la revisión de la Cuenta Pública 2018.</w:t>
      </w:r>
    </w:p>
    <w:p w:rsidR="000D0DD6" w:rsidRPr="00724252" w:rsidRDefault="000D0DD6" w:rsidP="000D0DD6">
      <w:pPr>
        <w:jc w:val="both"/>
        <w:rPr>
          <w:rFonts w:ascii="Arial" w:hAnsi="Arial" w:cs="Arial"/>
          <w:sz w:val="20"/>
          <w:szCs w:val="20"/>
          <w:lang w:val="pt-PT"/>
        </w:rPr>
      </w:pPr>
    </w:p>
    <w:p w:rsidR="000D0DD6" w:rsidRPr="00724252" w:rsidRDefault="000D0DD6" w:rsidP="000D0DD6">
      <w:pPr>
        <w:jc w:val="both"/>
        <w:rPr>
          <w:rFonts w:ascii="Arial" w:hAnsi="Arial" w:cs="Arial"/>
        </w:rPr>
      </w:pPr>
      <w:r w:rsidRPr="00724252">
        <w:rPr>
          <w:rFonts w:ascii="Arial" w:hAnsi="Arial" w:cs="Arial"/>
        </w:rPr>
        <w:t>Con relación a la elaboración de la Cuenta Pública Municipal d</w:t>
      </w:r>
      <w:r w:rsidR="003B4F5C">
        <w:rPr>
          <w:rFonts w:ascii="Arial" w:hAnsi="Arial" w:cs="Arial"/>
        </w:rPr>
        <w:t>el ejercicio 2018, la Presidenta</w:t>
      </w:r>
      <w:r w:rsidRPr="00724252">
        <w:rPr>
          <w:rFonts w:ascii="Arial" w:hAnsi="Arial" w:cs="Arial"/>
        </w:rPr>
        <w:t xml:space="preserve">, </w:t>
      </w:r>
      <w:r w:rsidR="003B4F5C">
        <w:rPr>
          <w:rFonts w:ascii="Arial" w:hAnsi="Arial" w:cs="Arial"/>
        </w:rPr>
        <w:t>Directora</w:t>
      </w:r>
      <w:r w:rsidRPr="00724252">
        <w:rPr>
          <w:rFonts w:ascii="Arial" w:hAnsi="Arial" w:cs="Arial"/>
        </w:rPr>
        <w:t xml:space="preserve">, </w:t>
      </w:r>
      <w:r w:rsidR="003B4F5C">
        <w:rPr>
          <w:rFonts w:ascii="Arial" w:hAnsi="Arial" w:cs="Arial"/>
        </w:rPr>
        <w:t xml:space="preserve">y </w:t>
      </w:r>
      <w:r w:rsidRPr="00724252">
        <w:rPr>
          <w:rFonts w:ascii="Arial" w:hAnsi="Arial" w:cs="Arial"/>
        </w:rPr>
        <w:t xml:space="preserve">Tesorero </w:t>
      </w:r>
      <w:r w:rsidR="003B4F5C">
        <w:rPr>
          <w:rFonts w:ascii="Arial" w:hAnsi="Arial" w:cs="Arial"/>
        </w:rPr>
        <w:t xml:space="preserve">del Sistema </w:t>
      </w:r>
      <w:r w:rsidRPr="00724252">
        <w:rPr>
          <w:rFonts w:ascii="Arial" w:hAnsi="Arial" w:cs="Arial"/>
        </w:rPr>
        <w:t xml:space="preserve">Municipal </w:t>
      </w:r>
      <w:r w:rsidR="003B4F5C">
        <w:rPr>
          <w:rFonts w:ascii="Arial" w:hAnsi="Arial" w:cs="Arial"/>
        </w:rPr>
        <w:t xml:space="preserve">DIF Tejupilco, </w:t>
      </w:r>
      <w:r w:rsidRPr="00724252">
        <w:rPr>
          <w:rFonts w:ascii="Arial" w:hAnsi="Arial" w:cs="Arial"/>
        </w:rPr>
        <w:t>damos cumplimiento a los artículo 8, fracción XIV y 32 párrafos segundo y tercero de la Ley de Fiscalización Superior del Estado de México, así como a la normatividad en materia de recaudación, administración y aplicación de los recursos Federales, Estatales y Municipales en los términos convenidos; y de acuerdo a la Normas Profesional de Auditoría del Sistema Nacional de Fiscalización No. 200, Evidencia de Auditoría, numeral 115  hacemos las siguientes afirmaciones a nuestro leal saber y entender:</w:t>
      </w:r>
    </w:p>
    <w:p w:rsidR="000D0DD6" w:rsidRPr="00724252" w:rsidRDefault="000D0DD6" w:rsidP="000D0DD6">
      <w:pPr>
        <w:numPr>
          <w:ilvl w:val="0"/>
          <w:numId w:val="2"/>
        </w:numPr>
        <w:spacing w:after="0"/>
        <w:jc w:val="both"/>
        <w:rPr>
          <w:rFonts w:ascii="Arial" w:hAnsi="Arial" w:cs="Arial"/>
          <w:b/>
        </w:rPr>
      </w:pPr>
      <w:r w:rsidRPr="00724252">
        <w:rPr>
          <w:rFonts w:ascii="Arial" w:hAnsi="Arial" w:cs="Arial"/>
          <w:b/>
        </w:rPr>
        <w:t>Información Presupuestaria</w:t>
      </w:r>
    </w:p>
    <w:p w:rsidR="000D0DD6" w:rsidRPr="00724252" w:rsidRDefault="000D0DD6" w:rsidP="000D0DD6">
      <w:pPr>
        <w:spacing w:after="0" w:line="240" w:lineRule="auto"/>
        <w:jc w:val="both"/>
        <w:rPr>
          <w:rFonts w:ascii="Arial" w:hAnsi="Arial" w:cs="Arial"/>
          <w:b/>
        </w:rPr>
      </w:pPr>
    </w:p>
    <w:p w:rsidR="000D0DD6" w:rsidRPr="00724252" w:rsidRDefault="000D0DD6" w:rsidP="000D0DD6">
      <w:pPr>
        <w:spacing w:after="0" w:line="240" w:lineRule="auto"/>
        <w:ind w:left="708"/>
        <w:jc w:val="both"/>
        <w:rPr>
          <w:rFonts w:ascii="Arial" w:hAnsi="Arial" w:cs="Arial"/>
        </w:rPr>
      </w:pPr>
      <w:r w:rsidRPr="00724252">
        <w:rPr>
          <w:rFonts w:ascii="Arial" w:hAnsi="Arial" w:cs="Arial"/>
        </w:rPr>
        <w:t>De la Integración y Presentación del Presupuesto:</w:t>
      </w:r>
    </w:p>
    <w:p w:rsidR="000D0DD6" w:rsidRPr="00724252" w:rsidRDefault="000D0DD6" w:rsidP="000D0DD6">
      <w:pPr>
        <w:spacing w:after="0" w:line="240" w:lineRule="auto"/>
        <w:outlineLvl w:val="0"/>
        <w:rPr>
          <w:rFonts w:ascii="Arial" w:hAnsi="Arial" w:cs="Arial"/>
          <w:b/>
          <w:spacing w:val="18"/>
        </w:rPr>
      </w:pPr>
    </w:p>
    <w:p w:rsidR="000D0DD6" w:rsidRPr="00724252" w:rsidRDefault="000D0DD6" w:rsidP="000D0DD6">
      <w:pPr>
        <w:pStyle w:val="Prrafodelista"/>
        <w:numPr>
          <w:ilvl w:val="0"/>
          <w:numId w:val="1"/>
        </w:numPr>
        <w:spacing w:after="0" w:line="240" w:lineRule="auto"/>
        <w:jc w:val="both"/>
        <w:rPr>
          <w:rFonts w:ascii="Arial" w:hAnsi="Arial" w:cs="Arial"/>
          <w:b/>
        </w:rPr>
      </w:pPr>
      <w:r w:rsidRPr="00724252">
        <w:rPr>
          <w:rFonts w:ascii="Arial" w:hAnsi="Arial" w:cs="Arial"/>
          <w:bCs/>
        </w:rPr>
        <w:t>Se cuenta con un presupuesto anual de ingresos y egreso</w:t>
      </w:r>
      <w:r w:rsidR="003B4F5C">
        <w:rPr>
          <w:rFonts w:ascii="Arial" w:hAnsi="Arial" w:cs="Arial"/>
          <w:bCs/>
        </w:rPr>
        <w:t xml:space="preserve">s autorizado por el </w:t>
      </w:r>
      <w:r w:rsidR="003B4F5C">
        <w:rPr>
          <w:rFonts w:ascii="Arial" w:hAnsi="Arial" w:cs="Arial"/>
        </w:rPr>
        <w:t xml:space="preserve">Sistema </w:t>
      </w:r>
      <w:r w:rsidR="003B4F5C" w:rsidRPr="00724252">
        <w:rPr>
          <w:rFonts w:ascii="Arial" w:hAnsi="Arial" w:cs="Arial"/>
        </w:rPr>
        <w:t xml:space="preserve">Municipal </w:t>
      </w:r>
      <w:r w:rsidR="003B4F5C">
        <w:rPr>
          <w:rFonts w:ascii="Arial" w:hAnsi="Arial" w:cs="Arial"/>
        </w:rPr>
        <w:t>DIF Tejupilco</w:t>
      </w:r>
      <w:r w:rsidRPr="00724252">
        <w:rPr>
          <w:rFonts w:ascii="Arial" w:hAnsi="Arial" w:cs="Arial"/>
          <w:bCs/>
        </w:rPr>
        <w:t xml:space="preserve"> y publicado en la </w:t>
      </w:r>
      <w:r w:rsidR="003B4F5C">
        <w:rPr>
          <w:rFonts w:ascii="Arial" w:hAnsi="Arial" w:cs="Arial"/>
          <w:bCs/>
        </w:rPr>
        <w:t>página web.</w:t>
      </w:r>
    </w:p>
    <w:p w:rsidR="000D0DD6" w:rsidRPr="00724252" w:rsidRDefault="000D0DD6" w:rsidP="000D0DD6">
      <w:pPr>
        <w:pStyle w:val="Prrafodelista"/>
        <w:spacing w:after="0" w:line="240" w:lineRule="auto"/>
        <w:ind w:left="0"/>
        <w:jc w:val="both"/>
        <w:rPr>
          <w:rFonts w:ascii="Arial" w:hAnsi="Arial" w:cs="Arial"/>
          <w:b/>
        </w:rPr>
      </w:pPr>
    </w:p>
    <w:p w:rsidR="000D0DD6" w:rsidRPr="00724252" w:rsidRDefault="000D0DD6" w:rsidP="000D0DD6">
      <w:pPr>
        <w:pStyle w:val="Prrafodelista"/>
        <w:numPr>
          <w:ilvl w:val="0"/>
          <w:numId w:val="1"/>
        </w:numPr>
        <w:spacing w:after="0" w:line="240" w:lineRule="auto"/>
        <w:jc w:val="both"/>
        <w:rPr>
          <w:rFonts w:ascii="Arial" w:hAnsi="Arial" w:cs="Arial"/>
          <w:b/>
        </w:rPr>
      </w:pPr>
      <w:r w:rsidRPr="00724252">
        <w:rPr>
          <w:rFonts w:ascii="Arial" w:hAnsi="Arial" w:cs="Arial"/>
        </w:rPr>
        <w:t>El presupuesto de ingresos se elaboró con base a la Ley de Ingresos de los Municipios del Estado de México para el ejercicio 2018.</w:t>
      </w:r>
    </w:p>
    <w:p w:rsidR="000D0DD6" w:rsidRPr="00724252" w:rsidRDefault="000D0DD6" w:rsidP="000D0DD6">
      <w:pPr>
        <w:pStyle w:val="Prrafodelista"/>
        <w:spacing w:after="0" w:line="240" w:lineRule="auto"/>
        <w:jc w:val="both"/>
        <w:rPr>
          <w:rFonts w:ascii="Arial" w:hAnsi="Arial" w:cs="Arial"/>
        </w:rPr>
      </w:pPr>
    </w:p>
    <w:p w:rsidR="000D0DD6" w:rsidRPr="00724252" w:rsidRDefault="000D0DD6" w:rsidP="000D0DD6">
      <w:pPr>
        <w:pStyle w:val="Prrafodelista"/>
        <w:numPr>
          <w:ilvl w:val="0"/>
          <w:numId w:val="1"/>
        </w:numPr>
        <w:spacing w:after="0" w:line="240" w:lineRule="auto"/>
        <w:jc w:val="both"/>
        <w:rPr>
          <w:rFonts w:ascii="Arial" w:hAnsi="Arial" w:cs="Arial"/>
        </w:rPr>
      </w:pPr>
      <w:r w:rsidRPr="00724252">
        <w:rPr>
          <w:rFonts w:ascii="Arial" w:hAnsi="Arial" w:cs="Arial"/>
        </w:rPr>
        <w:t>El presupuesto de egresos cumple con las disposiciones de la Ley de Disciplina Financiera de las Entidades Federativas y los Municipios, Manual para la Planeación, Programación y Presupuesto de Egresos Municipal para el ejercicio 2018 y demás ordenamientos legales.</w:t>
      </w:r>
    </w:p>
    <w:p w:rsidR="000D0DD6" w:rsidRPr="00724252" w:rsidRDefault="000D0DD6" w:rsidP="000D0DD6">
      <w:pPr>
        <w:pStyle w:val="Prrafodelista"/>
        <w:spacing w:after="0" w:line="240" w:lineRule="auto"/>
        <w:rPr>
          <w:rFonts w:ascii="Arial" w:hAnsi="Arial" w:cs="Arial"/>
        </w:rPr>
      </w:pPr>
    </w:p>
    <w:p w:rsidR="000D0DD6" w:rsidRPr="00724252" w:rsidRDefault="000D0DD6" w:rsidP="000D0DD6">
      <w:pPr>
        <w:pStyle w:val="Prrafodelista"/>
        <w:numPr>
          <w:ilvl w:val="0"/>
          <w:numId w:val="1"/>
        </w:numPr>
        <w:spacing w:after="0" w:line="240" w:lineRule="auto"/>
        <w:jc w:val="both"/>
        <w:rPr>
          <w:rFonts w:ascii="Arial" w:hAnsi="Arial" w:cs="Arial"/>
        </w:rPr>
      </w:pPr>
      <w:r w:rsidRPr="00724252">
        <w:rPr>
          <w:rFonts w:ascii="Arial" w:hAnsi="Arial" w:cs="Arial"/>
        </w:rPr>
        <w:t>Se cuenta con procedimientos para asegurarse que los catálogos utilizados en la elaboración del presupuesto son los autorizados.</w:t>
      </w:r>
    </w:p>
    <w:p w:rsidR="000D0DD6" w:rsidRPr="00724252" w:rsidRDefault="000D0DD6" w:rsidP="000D0DD6">
      <w:pPr>
        <w:pStyle w:val="Prrafodelista"/>
        <w:spacing w:after="0" w:line="240" w:lineRule="auto"/>
        <w:jc w:val="both"/>
        <w:rPr>
          <w:rFonts w:ascii="Arial" w:hAnsi="Arial" w:cs="Arial"/>
        </w:rPr>
      </w:pPr>
    </w:p>
    <w:p w:rsidR="000D0DD6" w:rsidRPr="00724252" w:rsidRDefault="000D0DD6" w:rsidP="000D0DD6">
      <w:pPr>
        <w:pStyle w:val="Prrafodelista"/>
        <w:numPr>
          <w:ilvl w:val="0"/>
          <w:numId w:val="1"/>
        </w:numPr>
        <w:spacing w:after="0" w:line="240" w:lineRule="auto"/>
        <w:jc w:val="both"/>
        <w:rPr>
          <w:rFonts w:ascii="Arial" w:hAnsi="Arial" w:cs="Arial"/>
        </w:rPr>
      </w:pPr>
      <w:r w:rsidRPr="00724252">
        <w:rPr>
          <w:rFonts w:ascii="Arial" w:hAnsi="Arial" w:cs="Arial"/>
        </w:rPr>
        <w:t>Los gastos presupuestarios comprometidos y devengados al cierre del ejercicio, corresponden a eventos ocurridos en dicho ejercicio, se encuentran soportados con la documentación comprobatoria correspondiente y se</w:t>
      </w:r>
      <w:r w:rsidR="003B4F5C">
        <w:rPr>
          <w:rFonts w:ascii="Arial" w:hAnsi="Arial" w:cs="Arial"/>
        </w:rPr>
        <w:t xml:space="preserve"> encuentran registrados en el formato de deuda pública y otros pasivos</w:t>
      </w:r>
      <w:r w:rsidRPr="00724252">
        <w:rPr>
          <w:rFonts w:ascii="Arial" w:hAnsi="Arial" w:cs="Arial"/>
        </w:rPr>
        <w:t>.</w:t>
      </w:r>
    </w:p>
    <w:p w:rsidR="000D0DD6" w:rsidRPr="00724252" w:rsidRDefault="000D0DD6" w:rsidP="000D0DD6">
      <w:pPr>
        <w:pStyle w:val="Prrafodelista"/>
        <w:spacing w:after="0" w:line="240" w:lineRule="auto"/>
        <w:rPr>
          <w:rFonts w:ascii="Arial" w:hAnsi="Arial" w:cs="Arial"/>
        </w:rPr>
      </w:pPr>
    </w:p>
    <w:p w:rsidR="000D0DD6" w:rsidRPr="00724252" w:rsidRDefault="000D0DD6" w:rsidP="000D0DD6">
      <w:pPr>
        <w:pStyle w:val="Prrafodelista"/>
        <w:spacing w:line="240" w:lineRule="auto"/>
        <w:jc w:val="both"/>
        <w:rPr>
          <w:rFonts w:ascii="Arial" w:hAnsi="Arial" w:cs="Arial"/>
        </w:rPr>
      </w:pPr>
      <w:r w:rsidRPr="00724252">
        <w:rPr>
          <w:rFonts w:ascii="Arial" w:hAnsi="Arial" w:cs="Arial"/>
        </w:rPr>
        <w:t>De la Ejecución del Presupuesto de Egresos:</w:t>
      </w:r>
    </w:p>
    <w:p w:rsidR="000D0DD6" w:rsidRPr="00724252" w:rsidRDefault="000D0DD6" w:rsidP="000D0DD6">
      <w:pPr>
        <w:pStyle w:val="Prrafodelista"/>
        <w:spacing w:line="240" w:lineRule="auto"/>
        <w:jc w:val="both"/>
        <w:rPr>
          <w:rFonts w:ascii="Arial" w:hAnsi="Arial" w:cs="Arial"/>
        </w:rPr>
      </w:pPr>
    </w:p>
    <w:p w:rsidR="000D0DD6" w:rsidRPr="00724252" w:rsidRDefault="000D0DD6" w:rsidP="000D0DD6">
      <w:pPr>
        <w:pStyle w:val="Prrafodelista"/>
        <w:numPr>
          <w:ilvl w:val="0"/>
          <w:numId w:val="1"/>
        </w:numPr>
        <w:spacing w:after="0" w:line="240" w:lineRule="auto"/>
        <w:jc w:val="both"/>
        <w:rPr>
          <w:rFonts w:ascii="Arial" w:hAnsi="Arial" w:cs="Arial"/>
          <w:b/>
        </w:rPr>
      </w:pPr>
      <w:r w:rsidRPr="00724252">
        <w:rPr>
          <w:rFonts w:ascii="Arial" w:hAnsi="Arial" w:cs="Arial"/>
        </w:rPr>
        <w:t>Los egresos se efectuaron cuando existió partida específica de gasto dentro del presupuesto y flujo de efectivo para cubrirlos</w:t>
      </w:r>
      <w:r w:rsidR="003B4F5C">
        <w:rPr>
          <w:rFonts w:ascii="Arial" w:hAnsi="Arial" w:cs="Arial"/>
        </w:rPr>
        <w:t>, realizándose traspasos internos dentro del mismo proyecto</w:t>
      </w:r>
      <w:r w:rsidRPr="00724252">
        <w:rPr>
          <w:rFonts w:ascii="Arial" w:hAnsi="Arial" w:cs="Arial"/>
        </w:rPr>
        <w:t>.</w:t>
      </w:r>
    </w:p>
    <w:p w:rsidR="000D0DD6" w:rsidRPr="00724252" w:rsidRDefault="000D0DD6" w:rsidP="000D0DD6">
      <w:pPr>
        <w:pStyle w:val="Prrafodelista"/>
        <w:spacing w:after="0"/>
        <w:jc w:val="both"/>
        <w:rPr>
          <w:rFonts w:ascii="Arial" w:hAnsi="Arial" w:cs="Arial"/>
          <w:b/>
        </w:rPr>
      </w:pPr>
    </w:p>
    <w:p w:rsidR="000D0DD6" w:rsidRPr="00724252" w:rsidRDefault="000D0DD6" w:rsidP="000D0DD6">
      <w:pPr>
        <w:pStyle w:val="Prrafodelista"/>
        <w:spacing w:after="0"/>
        <w:jc w:val="both"/>
        <w:rPr>
          <w:rFonts w:ascii="Arial" w:hAnsi="Arial" w:cs="Arial"/>
          <w:b/>
        </w:rPr>
      </w:pPr>
    </w:p>
    <w:p w:rsidR="00751D91" w:rsidRPr="00210471" w:rsidRDefault="000D0DD6" w:rsidP="00751D91">
      <w:pPr>
        <w:pStyle w:val="Prrafodelista"/>
        <w:numPr>
          <w:ilvl w:val="0"/>
          <w:numId w:val="1"/>
        </w:numPr>
        <w:spacing w:after="0"/>
        <w:jc w:val="both"/>
        <w:rPr>
          <w:rFonts w:ascii="Arial" w:hAnsi="Arial" w:cs="Arial"/>
          <w:b/>
        </w:rPr>
      </w:pPr>
      <w:r w:rsidRPr="00724252">
        <w:rPr>
          <w:rFonts w:ascii="Arial" w:hAnsi="Arial" w:cs="Arial"/>
          <w:bCs/>
        </w:rPr>
        <w:t>Los pagos que se realizaron en el ejercicio con cargo al presupuesto del mismo ejercicio, se encuentran debidamente justificados y comprobados con los do</w:t>
      </w:r>
      <w:r w:rsidR="00210471">
        <w:rPr>
          <w:rFonts w:ascii="Arial" w:hAnsi="Arial" w:cs="Arial"/>
          <w:bCs/>
        </w:rPr>
        <w:t>cumentos originales respectivos.</w:t>
      </w:r>
    </w:p>
    <w:p w:rsidR="00751D91" w:rsidRDefault="00751D91" w:rsidP="00751D91">
      <w:pPr>
        <w:spacing w:after="0"/>
        <w:jc w:val="both"/>
        <w:rPr>
          <w:rFonts w:ascii="Arial" w:hAnsi="Arial" w:cs="Arial"/>
          <w:b/>
        </w:rPr>
      </w:pPr>
    </w:p>
    <w:p w:rsidR="00751D91" w:rsidRPr="00751D91" w:rsidRDefault="00751D91" w:rsidP="00751D91">
      <w:pPr>
        <w:spacing w:after="0"/>
        <w:jc w:val="both"/>
        <w:rPr>
          <w:rFonts w:ascii="Arial" w:hAnsi="Arial" w:cs="Arial"/>
          <w:b/>
        </w:rPr>
      </w:pPr>
    </w:p>
    <w:p w:rsidR="000D0DD6" w:rsidRPr="0091471D" w:rsidRDefault="000D0DD6" w:rsidP="000D0DD6">
      <w:pPr>
        <w:pStyle w:val="Prrafodelista"/>
        <w:spacing w:after="0"/>
        <w:jc w:val="both"/>
        <w:rPr>
          <w:rFonts w:ascii="Arial" w:hAnsi="Arial" w:cs="Arial"/>
          <w:b/>
          <w:sz w:val="16"/>
        </w:rPr>
      </w:pPr>
    </w:p>
    <w:p w:rsidR="000D0DD6" w:rsidRPr="00724252" w:rsidRDefault="000D0DD6" w:rsidP="000D0DD6">
      <w:pPr>
        <w:pStyle w:val="Prrafodelista"/>
        <w:numPr>
          <w:ilvl w:val="0"/>
          <w:numId w:val="1"/>
        </w:numPr>
        <w:spacing w:after="0"/>
        <w:jc w:val="both"/>
        <w:rPr>
          <w:rFonts w:ascii="Arial" w:hAnsi="Arial" w:cs="Arial"/>
        </w:rPr>
      </w:pPr>
      <w:r w:rsidRPr="00724252">
        <w:rPr>
          <w:rFonts w:ascii="Arial" w:hAnsi="Arial" w:cs="Arial"/>
        </w:rPr>
        <w:t>Los ajustes a la Ley de Ingresos y Presupuesto de Egresos se justificaron y fueron autorizados por Órgano Máximo de Gobierno.</w:t>
      </w:r>
    </w:p>
    <w:p w:rsidR="000D0DD6" w:rsidRPr="0091471D" w:rsidRDefault="000D0DD6" w:rsidP="000D0DD6">
      <w:pPr>
        <w:pStyle w:val="Prrafodelista"/>
        <w:spacing w:after="0"/>
        <w:rPr>
          <w:rFonts w:ascii="Arial" w:hAnsi="Arial" w:cs="Arial"/>
          <w:b/>
          <w:sz w:val="18"/>
        </w:rPr>
      </w:pPr>
    </w:p>
    <w:p w:rsidR="000D0DD6" w:rsidRPr="00724252" w:rsidRDefault="000D0DD6" w:rsidP="000D0DD6">
      <w:pPr>
        <w:pStyle w:val="Prrafodelista"/>
        <w:numPr>
          <w:ilvl w:val="0"/>
          <w:numId w:val="1"/>
        </w:numPr>
        <w:spacing w:after="0"/>
        <w:jc w:val="both"/>
        <w:rPr>
          <w:rFonts w:ascii="Arial" w:hAnsi="Arial" w:cs="Arial"/>
        </w:rPr>
      </w:pPr>
      <w:r w:rsidRPr="00724252">
        <w:rPr>
          <w:rFonts w:ascii="Arial" w:hAnsi="Arial" w:cs="Arial"/>
        </w:rPr>
        <w:t>No se realizaron traspasos presupuestarios de gasto de inversión a capítulos de gasto corriente.</w:t>
      </w:r>
    </w:p>
    <w:p w:rsidR="000D0DD6" w:rsidRPr="0091471D" w:rsidRDefault="000D0DD6" w:rsidP="000D0DD6">
      <w:pPr>
        <w:pStyle w:val="Prrafodelista"/>
        <w:spacing w:after="0"/>
        <w:rPr>
          <w:rFonts w:ascii="Arial" w:hAnsi="Arial" w:cs="Arial"/>
          <w:sz w:val="18"/>
        </w:rPr>
      </w:pPr>
    </w:p>
    <w:p w:rsidR="000D0DD6" w:rsidRPr="00724252" w:rsidRDefault="000D0DD6" w:rsidP="000D0DD6">
      <w:pPr>
        <w:pStyle w:val="Prrafodelista"/>
        <w:numPr>
          <w:ilvl w:val="0"/>
          <w:numId w:val="1"/>
        </w:numPr>
        <w:spacing w:after="0"/>
        <w:jc w:val="both"/>
        <w:rPr>
          <w:rFonts w:ascii="Arial" w:hAnsi="Arial" w:cs="Arial"/>
        </w:rPr>
      </w:pPr>
      <w:r w:rsidRPr="00724252">
        <w:rPr>
          <w:rFonts w:ascii="Arial" w:hAnsi="Arial" w:cs="Arial"/>
        </w:rPr>
        <w:t>El egreso ejercido por dependencia general se realizó en apego a las metas programadas.</w:t>
      </w:r>
    </w:p>
    <w:p w:rsidR="000D0DD6" w:rsidRPr="0091471D" w:rsidRDefault="000D0DD6" w:rsidP="000D0DD6">
      <w:pPr>
        <w:pStyle w:val="Prrafodelista"/>
        <w:spacing w:after="0"/>
        <w:jc w:val="both"/>
        <w:rPr>
          <w:rFonts w:ascii="Arial" w:hAnsi="Arial" w:cs="Arial"/>
          <w:b/>
          <w:sz w:val="18"/>
        </w:rPr>
      </w:pPr>
    </w:p>
    <w:p w:rsidR="000D0DD6" w:rsidRPr="00724252" w:rsidRDefault="000D0DD6" w:rsidP="000D0DD6">
      <w:pPr>
        <w:pStyle w:val="Prrafodelista"/>
        <w:numPr>
          <w:ilvl w:val="0"/>
          <w:numId w:val="1"/>
        </w:numPr>
        <w:spacing w:after="0"/>
        <w:jc w:val="both"/>
        <w:rPr>
          <w:rFonts w:ascii="Arial" w:hAnsi="Arial" w:cs="Arial"/>
          <w:b/>
        </w:rPr>
      </w:pPr>
      <w:r w:rsidRPr="00724252">
        <w:rPr>
          <w:rFonts w:ascii="Arial" w:hAnsi="Arial" w:cs="Arial"/>
        </w:rPr>
        <w:t>Las adquisiciones de bienes y servicios se realizaron de acuerdo al programa anual y a la Ley de Contratación Pública del Estado de México y Municipios.</w:t>
      </w:r>
    </w:p>
    <w:p w:rsidR="000D0DD6" w:rsidRPr="0091471D" w:rsidRDefault="000D0DD6" w:rsidP="000D0DD6">
      <w:pPr>
        <w:pStyle w:val="Prrafodelista"/>
        <w:spacing w:after="0"/>
        <w:rPr>
          <w:rFonts w:ascii="Arial" w:hAnsi="Arial" w:cs="Arial"/>
          <w:b/>
          <w:sz w:val="18"/>
        </w:rPr>
      </w:pPr>
    </w:p>
    <w:p w:rsidR="000D0DD6" w:rsidRPr="00724252" w:rsidRDefault="000D0DD6" w:rsidP="000D0DD6">
      <w:pPr>
        <w:pStyle w:val="Prrafodelista"/>
        <w:numPr>
          <w:ilvl w:val="0"/>
          <w:numId w:val="1"/>
        </w:numPr>
        <w:spacing w:after="0"/>
        <w:jc w:val="both"/>
        <w:rPr>
          <w:rFonts w:ascii="Arial" w:hAnsi="Arial" w:cs="Arial"/>
          <w:b/>
        </w:rPr>
      </w:pPr>
      <w:r w:rsidRPr="00724252">
        <w:rPr>
          <w:rFonts w:ascii="Arial" w:hAnsi="Arial" w:cs="Arial"/>
        </w:rPr>
        <w:t>La planeación, programación, presupuestación, adjudicación, ejecución y contratación de obras públicas y servicios relacionados con las mismas se realizaron de acuerdo al programa anual y al Libro Décimo Segundo del Código Administrativo del Estado de México.</w:t>
      </w:r>
    </w:p>
    <w:p w:rsidR="000D0DD6" w:rsidRPr="0091471D" w:rsidRDefault="000D0DD6" w:rsidP="000D0DD6">
      <w:pPr>
        <w:pStyle w:val="Prrafodelista"/>
        <w:spacing w:after="0"/>
        <w:rPr>
          <w:rFonts w:ascii="Arial" w:hAnsi="Arial" w:cs="Arial"/>
          <w:b/>
          <w:sz w:val="18"/>
        </w:rPr>
      </w:pPr>
    </w:p>
    <w:p w:rsidR="000D0DD6" w:rsidRPr="00724252" w:rsidRDefault="000D0DD6" w:rsidP="000D0DD6">
      <w:pPr>
        <w:pStyle w:val="Prrafodelista"/>
        <w:numPr>
          <w:ilvl w:val="0"/>
          <w:numId w:val="1"/>
        </w:numPr>
        <w:spacing w:after="0"/>
        <w:jc w:val="both"/>
        <w:rPr>
          <w:rFonts w:ascii="Arial" w:hAnsi="Arial" w:cs="Arial"/>
          <w:b/>
        </w:rPr>
      </w:pPr>
      <w:r w:rsidRPr="00724252">
        <w:rPr>
          <w:rFonts w:ascii="Arial" w:hAnsi="Arial" w:cs="Arial"/>
        </w:rPr>
        <w:t>Los arrendamientos, adquisiciones de inmuebles y enajenaciones, se realizaron de conformidad a la Ley de Contratación Pública del Estado de México y Municipios, salvo las realizadas con recursos federales, en las que se aplicó la Ley de Adquisiciones, Arrendamientos y Servicios del Sector Público, y sus respectivos Reglamentos.</w:t>
      </w:r>
    </w:p>
    <w:p w:rsidR="000D0DD6" w:rsidRPr="0091471D" w:rsidRDefault="000D0DD6" w:rsidP="000D0DD6">
      <w:pPr>
        <w:pStyle w:val="Prrafodelista"/>
        <w:spacing w:after="0"/>
        <w:rPr>
          <w:rFonts w:ascii="Arial" w:hAnsi="Arial" w:cs="Arial"/>
          <w:b/>
          <w:sz w:val="12"/>
        </w:rPr>
      </w:pPr>
    </w:p>
    <w:p w:rsidR="000D0DD6" w:rsidRPr="0091471D" w:rsidRDefault="000D0DD6" w:rsidP="000D0DD6">
      <w:pPr>
        <w:pStyle w:val="Prrafodelista"/>
        <w:spacing w:after="0"/>
        <w:rPr>
          <w:rFonts w:ascii="Arial" w:hAnsi="Arial" w:cs="Arial"/>
          <w:sz w:val="14"/>
        </w:rPr>
      </w:pPr>
    </w:p>
    <w:p w:rsidR="000D0DD6" w:rsidRPr="00724252" w:rsidRDefault="000D0DD6" w:rsidP="000D0DD6">
      <w:pPr>
        <w:pStyle w:val="Prrafodelista"/>
        <w:numPr>
          <w:ilvl w:val="0"/>
          <w:numId w:val="1"/>
        </w:numPr>
        <w:spacing w:after="0"/>
        <w:jc w:val="both"/>
        <w:rPr>
          <w:rFonts w:ascii="Arial" w:hAnsi="Arial" w:cs="Arial"/>
        </w:rPr>
      </w:pPr>
      <w:r w:rsidRPr="00724252">
        <w:rPr>
          <w:rFonts w:ascii="Arial" w:hAnsi="Arial" w:cs="Arial"/>
        </w:rPr>
        <w:t>Se cumplió con las obligaciones fiscales y administrativas (pago e informativa) ante la Secretaria de Hacienda y Crédito Público (SHCP), la Secretaría de Finanzas del Gobierno del Estado de México, el Instituto de Seguridad Social del Estado de México y Municipios (</w:t>
      </w:r>
      <w:proofErr w:type="spellStart"/>
      <w:r w:rsidRPr="00724252">
        <w:rPr>
          <w:rFonts w:ascii="Arial" w:hAnsi="Arial" w:cs="Arial"/>
        </w:rPr>
        <w:t>ISSEMyM</w:t>
      </w:r>
      <w:proofErr w:type="spellEnd"/>
      <w:r w:rsidRPr="00724252">
        <w:rPr>
          <w:rFonts w:ascii="Arial" w:hAnsi="Arial" w:cs="Arial"/>
        </w:rPr>
        <w:t>), Comisión Federal de Electricidad (CFE), y demás obligaciones.</w:t>
      </w:r>
    </w:p>
    <w:p w:rsidR="000D0DD6" w:rsidRPr="0091471D" w:rsidRDefault="000D0DD6" w:rsidP="000D0DD6">
      <w:pPr>
        <w:pStyle w:val="Prrafodelista"/>
        <w:spacing w:after="0"/>
        <w:rPr>
          <w:rFonts w:ascii="Arial" w:hAnsi="Arial" w:cs="Arial"/>
          <w:sz w:val="14"/>
        </w:rPr>
      </w:pPr>
    </w:p>
    <w:p w:rsidR="000D0DD6" w:rsidRDefault="000D0DD6" w:rsidP="000D0DD6">
      <w:pPr>
        <w:pStyle w:val="Prrafodelista"/>
        <w:numPr>
          <w:ilvl w:val="0"/>
          <w:numId w:val="1"/>
        </w:numPr>
        <w:spacing w:after="0"/>
        <w:jc w:val="both"/>
        <w:rPr>
          <w:rFonts w:ascii="Arial" w:hAnsi="Arial" w:cs="Arial"/>
        </w:rPr>
      </w:pPr>
      <w:r w:rsidRPr="00724252">
        <w:rPr>
          <w:rFonts w:ascii="Arial" w:hAnsi="Arial" w:cs="Arial"/>
        </w:rPr>
        <w:t xml:space="preserve"> El pago de remuneraciones se sujetó a los tabuladores de sueldos y salarios autorizados por el Órgano Máximo de Gobierno, considerando los tabuladores de remuneraciones aprobados por el Consejo Consultivo de Valoración Salarial.</w:t>
      </w:r>
    </w:p>
    <w:p w:rsidR="00751D91" w:rsidRPr="00751D91" w:rsidRDefault="00751D91" w:rsidP="00751D91">
      <w:pPr>
        <w:spacing w:after="0"/>
        <w:jc w:val="both"/>
        <w:rPr>
          <w:rFonts w:ascii="Arial" w:hAnsi="Arial" w:cs="Arial"/>
        </w:rPr>
      </w:pPr>
    </w:p>
    <w:p w:rsidR="000D0DD6" w:rsidRPr="0091471D" w:rsidRDefault="000D0DD6" w:rsidP="000D0DD6">
      <w:pPr>
        <w:pStyle w:val="Prrafodelista"/>
        <w:spacing w:after="0"/>
        <w:rPr>
          <w:rFonts w:ascii="Arial" w:hAnsi="Arial" w:cs="Arial"/>
          <w:sz w:val="14"/>
        </w:rPr>
      </w:pPr>
    </w:p>
    <w:p w:rsidR="000D0DD6" w:rsidRPr="0091471D" w:rsidRDefault="000D0DD6" w:rsidP="000D0DD6">
      <w:pPr>
        <w:numPr>
          <w:ilvl w:val="0"/>
          <w:numId w:val="2"/>
        </w:numPr>
        <w:spacing w:after="0"/>
        <w:jc w:val="both"/>
        <w:rPr>
          <w:rFonts w:ascii="Arial" w:hAnsi="Arial" w:cs="Arial"/>
        </w:rPr>
      </w:pPr>
      <w:r w:rsidRPr="00724252">
        <w:rPr>
          <w:rFonts w:ascii="Arial" w:hAnsi="Arial" w:cs="Arial"/>
          <w:b/>
        </w:rPr>
        <w:t xml:space="preserve">Información Contable </w:t>
      </w:r>
    </w:p>
    <w:p w:rsidR="000D0DD6" w:rsidRPr="0091471D" w:rsidRDefault="000D0DD6" w:rsidP="000D0DD6">
      <w:pPr>
        <w:pStyle w:val="Prrafodelista"/>
        <w:spacing w:after="0"/>
        <w:jc w:val="both"/>
        <w:rPr>
          <w:rFonts w:ascii="Arial" w:hAnsi="Arial" w:cs="Arial"/>
          <w:b/>
          <w:sz w:val="12"/>
          <w:u w:val="single"/>
        </w:rPr>
      </w:pPr>
    </w:p>
    <w:p w:rsidR="000D0DD6" w:rsidRPr="00724252" w:rsidRDefault="000D0DD6" w:rsidP="000D0DD6">
      <w:pPr>
        <w:pStyle w:val="Prrafodelista"/>
        <w:numPr>
          <w:ilvl w:val="0"/>
          <w:numId w:val="1"/>
        </w:numPr>
        <w:spacing w:after="0"/>
        <w:jc w:val="both"/>
        <w:rPr>
          <w:rFonts w:ascii="Arial" w:hAnsi="Arial" w:cs="Arial"/>
          <w:b/>
          <w:u w:val="single"/>
        </w:rPr>
      </w:pPr>
      <w:r w:rsidRPr="00724252">
        <w:rPr>
          <w:rFonts w:ascii="Arial" w:hAnsi="Arial" w:cs="Arial"/>
        </w:rPr>
        <w:t>Las operaciones financieras se registraron patrimonial y presupuestalmente conforme a la lista de cuentas, al sistema y políticas que se establecen en el Manual Único de Contabilidad Gubernamental para las Dependencias y Entidades Públicas del Gobierno y Municipios del Estado de México (Decimoséptima Edición 2018).</w:t>
      </w:r>
    </w:p>
    <w:p w:rsidR="000D0DD6" w:rsidRPr="0091471D" w:rsidRDefault="000D0DD6" w:rsidP="000D0DD6">
      <w:pPr>
        <w:pStyle w:val="Prrafodelista"/>
        <w:spacing w:after="0"/>
        <w:jc w:val="both"/>
        <w:rPr>
          <w:rFonts w:ascii="Arial" w:hAnsi="Arial" w:cs="Arial"/>
          <w:b/>
          <w:sz w:val="14"/>
          <w:u w:val="single"/>
        </w:rPr>
      </w:pPr>
    </w:p>
    <w:p w:rsidR="000D0DD6" w:rsidRPr="00751D91" w:rsidRDefault="000D0DD6" w:rsidP="000D0DD6">
      <w:pPr>
        <w:pStyle w:val="Prrafodelista"/>
        <w:numPr>
          <w:ilvl w:val="0"/>
          <w:numId w:val="1"/>
        </w:numPr>
        <w:spacing w:after="0"/>
        <w:jc w:val="both"/>
        <w:rPr>
          <w:rFonts w:ascii="Arial" w:hAnsi="Arial" w:cs="Arial"/>
          <w:b/>
          <w:u w:val="single"/>
        </w:rPr>
      </w:pPr>
      <w:r w:rsidRPr="00724252">
        <w:rPr>
          <w:rFonts w:ascii="Arial" w:hAnsi="Arial" w:cs="Arial"/>
        </w:rPr>
        <w:t>Las operaciones financieras se registraron contable y presupuestalmente dentro de los cinco días posteriores a su realización.</w:t>
      </w:r>
    </w:p>
    <w:p w:rsidR="00751D91" w:rsidRPr="00751D91" w:rsidRDefault="00751D91" w:rsidP="00751D91">
      <w:pPr>
        <w:pStyle w:val="Prrafodelista"/>
        <w:rPr>
          <w:rFonts w:ascii="Arial" w:hAnsi="Arial" w:cs="Arial"/>
          <w:b/>
          <w:u w:val="single"/>
        </w:rPr>
      </w:pPr>
    </w:p>
    <w:p w:rsidR="00751D91" w:rsidRDefault="00751D91" w:rsidP="00751D91">
      <w:pPr>
        <w:spacing w:after="0"/>
        <w:jc w:val="both"/>
        <w:rPr>
          <w:rFonts w:ascii="Arial" w:hAnsi="Arial" w:cs="Arial"/>
          <w:b/>
          <w:u w:val="single"/>
        </w:rPr>
      </w:pPr>
    </w:p>
    <w:p w:rsidR="00210471" w:rsidRPr="00751D91" w:rsidRDefault="00210471" w:rsidP="00751D91">
      <w:pPr>
        <w:spacing w:after="0"/>
        <w:jc w:val="both"/>
        <w:rPr>
          <w:rFonts w:ascii="Arial" w:hAnsi="Arial" w:cs="Arial"/>
          <w:b/>
          <w:u w:val="single"/>
        </w:rPr>
      </w:pPr>
    </w:p>
    <w:p w:rsidR="000D0DD6" w:rsidRPr="0091471D" w:rsidRDefault="000D0DD6" w:rsidP="000D0DD6">
      <w:pPr>
        <w:pStyle w:val="Prrafodelista"/>
        <w:spacing w:after="0"/>
        <w:rPr>
          <w:rFonts w:ascii="Arial" w:hAnsi="Arial" w:cs="Arial"/>
          <w:sz w:val="14"/>
        </w:rPr>
      </w:pPr>
    </w:p>
    <w:p w:rsidR="00590369" w:rsidRPr="00751D91" w:rsidRDefault="000D0DD6" w:rsidP="00751D91">
      <w:pPr>
        <w:pStyle w:val="Prrafodelista"/>
        <w:numPr>
          <w:ilvl w:val="0"/>
          <w:numId w:val="1"/>
        </w:numPr>
        <w:spacing w:after="0"/>
        <w:jc w:val="both"/>
        <w:rPr>
          <w:rFonts w:ascii="Arial" w:hAnsi="Arial" w:cs="Arial"/>
        </w:rPr>
      </w:pPr>
      <w:r w:rsidRPr="00724252">
        <w:rPr>
          <w:rFonts w:ascii="Arial" w:hAnsi="Arial" w:cs="Arial"/>
        </w:rPr>
        <w:t xml:space="preserve"> Se cumplió con la obligación de publicar en la página web de entidad municipal la información del Título Quinto de la Ley General de Contabilidad Gubernamental, la Ley de Disciplina Financiera de las Entidades Federativas y los Munic</w:t>
      </w:r>
      <w:r w:rsidR="00590369">
        <w:rPr>
          <w:rFonts w:ascii="Arial" w:hAnsi="Arial" w:cs="Arial"/>
        </w:rPr>
        <w:t>ipios</w:t>
      </w:r>
      <w:r w:rsidRPr="00724252">
        <w:rPr>
          <w:rFonts w:ascii="Arial" w:hAnsi="Arial" w:cs="Arial"/>
        </w:rPr>
        <w:t xml:space="preserve">. </w:t>
      </w:r>
    </w:p>
    <w:p w:rsidR="000D0DD6" w:rsidRPr="004532CC" w:rsidRDefault="000D0DD6" w:rsidP="004532CC">
      <w:pPr>
        <w:spacing w:after="0"/>
        <w:rPr>
          <w:rFonts w:ascii="Arial" w:hAnsi="Arial" w:cs="Arial"/>
        </w:rPr>
      </w:pPr>
    </w:p>
    <w:p w:rsidR="000D0DD6" w:rsidRPr="00724252" w:rsidRDefault="000D0DD6" w:rsidP="000D0DD6">
      <w:pPr>
        <w:pStyle w:val="Prrafodelista"/>
        <w:numPr>
          <w:ilvl w:val="0"/>
          <w:numId w:val="1"/>
        </w:numPr>
        <w:spacing w:after="0"/>
        <w:jc w:val="both"/>
        <w:rPr>
          <w:rFonts w:ascii="Arial" w:hAnsi="Arial" w:cs="Arial"/>
        </w:rPr>
      </w:pPr>
      <w:r w:rsidRPr="00724252">
        <w:rPr>
          <w:rFonts w:ascii="Arial" w:hAnsi="Arial" w:cs="Arial"/>
        </w:rPr>
        <w:t>Se realizó el pago de las obligaciones a corto conforme a tabla de pagos establecida en el contrato y las obligaciones a corto plazo quedaron pagadas tres meses antes de que concluya el periodo de la administración, verificando que no se contrataron más obligaciones a corto plazo durante esos últimos tres meses.</w:t>
      </w:r>
    </w:p>
    <w:p w:rsidR="000D0DD6" w:rsidRPr="00724252" w:rsidRDefault="000D0DD6" w:rsidP="000D0DD6">
      <w:pPr>
        <w:pStyle w:val="Prrafodelista"/>
        <w:spacing w:after="0"/>
        <w:rPr>
          <w:rFonts w:ascii="Arial" w:hAnsi="Arial" w:cs="Arial"/>
        </w:rPr>
      </w:pPr>
    </w:p>
    <w:p w:rsidR="000D0DD6" w:rsidRPr="00724252" w:rsidRDefault="000D0DD6" w:rsidP="000D0DD6">
      <w:pPr>
        <w:pStyle w:val="Prrafodelista"/>
        <w:numPr>
          <w:ilvl w:val="0"/>
          <w:numId w:val="1"/>
        </w:numPr>
        <w:spacing w:after="0"/>
        <w:jc w:val="both"/>
        <w:rPr>
          <w:rFonts w:ascii="Arial" w:hAnsi="Arial" w:cs="Arial"/>
        </w:rPr>
      </w:pPr>
      <w:r w:rsidRPr="00724252">
        <w:rPr>
          <w:rFonts w:ascii="Arial" w:hAnsi="Arial" w:cs="Arial"/>
        </w:rPr>
        <w:t>Se elaboran conciliaciones periódicas entre la información contable y presupuestaria.</w:t>
      </w:r>
    </w:p>
    <w:p w:rsidR="000D0DD6" w:rsidRPr="00724252" w:rsidRDefault="000D0DD6" w:rsidP="000D0DD6">
      <w:pPr>
        <w:pStyle w:val="Prrafodelista"/>
        <w:spacing w:after="0"/>
        <w:rPr>
          <w:rFonts w:ascii="Arial" w:hAnsi="Arial" w:cs="Arial"/>
          <w:highlight w:val="yellow"/>
        </w:rPr>
      </w:pPr>
    </w:p>
    <w:p w:rsidR="000D0DD6" w:rsidRPr="009409E3" w:rsidRDefault="000D0DD6" w:rsidP="000D0DD6">
      <w:pPr>
        <w:pStyle w:val="Prrafodelista"/>
        <w:numPr>
          <w:ilvl w:val="0"/>
          <w:numId w:val="1"/>
        </w:numPr>
        <w:spacing w:after="0"/>
        <w:jc w:val="both"/>
        <w:rPr>
          <w:rFonts w:ascii="Arial" w:hAnsi="Arial" w:cs="Arial"/>
        </w:rPr>
      </w:pPr>
      <w:r w:rsidRPr="00724252">
        <w:rPr>
          <w:rFonts w:ascii="Arial" w:hAnsi="Arial" w:cs="Arial"/>
        </w:rPr>
        <w:t xml:space="preserve">Los Estados Financieros y presupuestarios que emanan de las operaciones que se registraron contable y presupuestalmente son la base para la emisión de informes periódicos y para la formulación de la cuenta pública anual, así como sus notas respectivas y reflejan la veracidad de la información financiera generada conforme a la Ley General de Contabilidad Gubernamental, Ley de Disciplina Financiera de las Entidades Federativas y los Municipios, de la Ley de Ingresos de los Municipios del Estado de México para el Ejercicio Fiscal del Año 2018, del Presupuesto de Egresos del Municipio para el Ejercicio Fiscal del Año 2018, del Código Financiero del Estado de México y Municipios, normas y acuerdos emitidos por el Consejo Nacional de Armonización Contable (CONAC), del Manual Único de Contabilidad Gubernamental para las Dependencias y Entidades Públicas del Gobierno y Municipios del Estado de México (decimoséptima edición 2018), Lineamientos de Control Financiero y Administrativo para las Entidades Fiscalizables Municipales del Estado de México y Lineamientos para la Elaboración de la Cuenta Pública </w:t>
      </w:r>
      <w:r w:rsidRPr="00724252">
        <w:rPr>
          <w:rFonts w:ascii="Arial" w:hAnsi="Arial" w:cs="Arial"/>
          <w:iCs/>
        </w:rPr>
        <w:t>Municipal 2018 y demás normatividad aplicable.</w:t>
      </w:r>
    </w:p>
    <w:p w:rsidR="000D0DD6" w:rsidRDefault="000D0DD6" w:rsidP="000D0DD6">
      <w:pPr>
        <w:spacing w:after="0"/>
        <w:jc w:val="both"/>
        <w:rPr>
          <w:rFonts w:ascii="Arial" w:hAnsi="Arial" w:cs="Arial"/>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210471" w:rsidRDefault="00210471" w:rsidP="000D0DD6">
      <w:pPr>
        <w:spacing w:after="0" w:line="240" w:lineRule="auto"/>
        <w:jc w:val="both"/>
        <w:rPr>
          <w:rFonts w:ascii="Arial" w:hAnsi="Arial" w:cs="Arial"/>
          <w:b/>
          <w:bCs/>
          <w:lang w:val="pt-PT"/>
        </w:rPr>
      </w:pPr>
    </w:p>
    <w:p w:rsidR="004532CC" w:rsidRDefault="004532CC" w:rsidP="000D0DD6">
      <w:pPr>
        <w:spacing w:after="0" w:line="240" w:lineRule="auto"/>
        <w:jc w:val="both"/>
        <w:rPr>
          <w:rFonts w:ascii="Arial" w:hAnsi="Arial" w:cs="Arial"/>
          <w:b/>
          <w:bCs/>
          <w:lang w:val="pt-PT"/>
        </w:rPr>
      </w:pPr>
    </w:p>
    <w:p w:rsidR="00210471" w:rsidRDefault="00210471" w:rsidP="000D0DD6">
      <w:pPr>
        <w:spacing w:after="0" w:line="240" w:lineRule="auto"/>
        <w:jc w:val="both"/>
        <w:rPr>
          <w:rFonts w:ascii="Arial" w:hAnsi="Arial" w:cs="Arial"/>
          <w:b/>
          <w:bCs/>
          <w:lang w:val="pt-PT"/>
        </w:rPr>
      </w:pPr>
    </w:p>
    <w:p w:rsidR="000D0DD6" w:rsidRPr="00724252" w:rsidRDefault="000D0DD6" w:rsidP="000D0DD6">
      <w:pPr>
        <w:spacing w:after="0" w:line="240" w:lineRule="auto"/>
        <w:jc w:val="both"/>
        <w:rPr>
          <w:rFonts w:ascii="Arial" w:hAnsi="Arial" w:cs="Arial"/>
          <w:b/>
          <w:bCs/>
          <w:lang w:val="pt-PT"/>
        </w:rPr>
      </w:pPr>
      <w:bookmarkStart w:id="0" w:name="_GoBack"/>
      <w:bookmarkEnd w:id="0"/>
      <w:r w:rsidRPr="00724252">
        <w:rPr>
          <w:rFonts w:ascii="Arial" w:hAnsi="Arial" w:cs="Arial"/>
          <w:b/>
          <w:bCs/>
          <w:lang w:val="pt-PT"/>
        </w:rPr>
        <w:t xml:space="preserve">Las afirmaciones antes citadas fueron preparadas por el </w:t>
      </w:r>
      <w:r w:rsidR="00AC2422" w:rsidRPr="00AC2422">
        <w:rPr>
          <w:rFonts w:ascii="Arial" w:hAnsi="Arial" w:cs="Arial"/>
          <w:b/>
          <w:bCs/>
          <w:lang w:val="pt-PT"/>
        </w:rPr>
        <w:t>Sistema Municipal DIF Tejupilco</w:t>
      </w:r>
      <w:r w:rsidRPr="00724252">
        <w:rPr>
          <w:rFonts w:ascii="Arial" w:hAnsi="Arial" w:cs="Arial"/>
          <w:b/>
          <w:bCs/>
          <w:lang w:val="pt-PT"/>
        </w:rPr>
        <w:t>, Estado de México, quien es responsable de la administración de la Hacienda Pública.</w:t>
      </w:r>
    </w:p>
    <w:p w:rsidR="004532CC" w:rsidRDefault="004532CC" w:rsidP="000D0DD6">
      <w:pPr>
        <w:spacing w:after="0"/>
        <w:jc w:val="right"/>
        <w:rPr>
          <w:rFonts w:ascii="Arial" w:hAnsi="Arial" w:cs="Arial"/>
          <w:b/>
          <w:bCs/>
          <w:lang w:val="pt-PT"/>
        </w:rPr>
      </w:pPr>
    </w:p>
    <w:p w:rsidR="000D0DD6" w:rsidRDefault="00AC2422" w:rsidP="000D0DD6">
      <w:pPr>
        <w:spacing w:after="0"/>
        <w:jc w:val="right"/>
        <w:rPr>
          <w:rFonts w:ascii="Arial" w:hAnsi="Arial" w:cs="Arial"/>
          <w:b/>
          <w:bCs/>
          <w:lang w:val="pt-PT"/>
        </w:rPr>
      </w:pPr>
      <w:r>
        <w:rPr>
          <w:rFonts w:ascii="Arial" w:hAnsi="Arial" w:cs="Arial"/>
          <w:b/>
          <w:bCs/>
          <w:lang w:val="pt-PT"/>
        </w:rPr>
        <w:t>T</w:t>
      </w:r>
      <w:r w:rsidR="004532CC">
        <w:rPr>
          <w:rFonts w:ascii="Arial" w:hAnsi="Arial" w:cs="Arial"/>
          <w:b/>
          <w:bCs/>
          <w:lang w:val="pt-PT"/>
        </w:rPr>
        <w:t>ejupilco</w:t>
      </w:r>
      <w:r>
        <w:rPr>
          <w:rFonts w:ascii="Arial" w:hAnsi="Arial" w:cs="Arial"/>
          <w:b/>
          <w:bCs/>
          <w:lang w:val="pt-PT"/>
        </w:rPr>
        <w:t>, Méx. 13</w:t>
      </w:r>
      <w:r w:rsidR="000D0DD6" w:rsidRPr="00724252">
        <w:rPr>
          <w:rFonts w:ascii="Arial" w:hAnsi="Arial" w:cs="Arial"/>
          <w:b/>
          <w:bCs/>
          <w:lang w:val="pt-PT"/>
        </w:rPr>
        <w:t xml:space="preserve"> de Marzo de 2019</w:t>
      </w:r>
    </w:p>
    <w:p w:rsidR="004532CC" w:rsidRDefault="004532CC" w:rsidP="000D0DD6">
      <w:pPr>
        <w:spacing w:after="0"/>
        <w:jc w:val="right"/>
        <w:rPr>
          <w:rFonts w:ascii="Arial" w:hAnsi="Arial" w:cs="Arial"/>
          <w:b/>
          <w:bCs/>
          <w:lang w:val="pt-PT"/>
        </w:rPr>
      </w:pPr>
    </w:p>
    <w:p w:rsidR="004532CC" w:rsidRPr="00724252" w:rsidRDefault="004532CC" w:rsidP="000D0DD6">
      <w:pPr>
        <w:spacing w:after="0"/>
        <w:jc w:val="right"/>
        <w:rPr>
          <w:rFonts w:ascii="Arial" w:hAnsi="Arial" w:cs="Arial"/>
          <w:b/>
          <w:bCs/>
          <w:lang w:val="pt-PT"/>
        </w:rPr>
      </w:pPr>
    </w:p>
    <w:p w:rsidR="000D0DD6" w:rsidRPr="00724252" w:rsidRDefault="000D0DD6" w:rsidP="000D0DD6"/>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425"/>
        <w:gridCol w:w="4297"/>
      </w:tblGrid>
      <w:tr w:rsidR="00751D91" w:rsidTr="009F1468">
        <w:trPr>
          <w:trHeight w:val="1317"/>
          <w:jc w:val="center"/>
        </w:trPr>
        <w:tc>
          <w:tcPr>
            <w:tcW w:w="4106" w:type="dxa"/>
            <w:tcBorders>
              <w:top w:val="nil"/>
              <w:bottom w:val="nil"/>
            </w:tcBorders>
          </w:tcPr>
          <w:p w:rsidR="00751D91" w:rsidRDefault="00751D91" w:rsidP="009F1468">
            <w:pPr>
              <w:autoSpaceDE w:val="0"/>
              <w:autoSpaceDN w:val="0"/>
              <w:adjustRightInd w:val="0"/>
              <w:jc w:val="center"/>
              <w:rPr>
                <w:rFonts w:ascii="Arial" w:hAnsi="Arial" w:cs="Arial"/>
                <w:b/>
                <w:bCs/>
                <w:sz w:val="20"/>
                <w:szCs w:val="20"/>
              </w:rPr>
            </w:pPr>
          </w:p>
        </w:tc>
        <w:tc>
          <w:tcPr>
            <w:tcW w:w="425" w:type="dxa"/>
            <w:tcBorders>
              <w:top w:val="nil"/>
              <w:bottom w:val="nil"/>
            </w:tcBorders>
          </w:tcPr>
          <w:p w:rsidR="00751D91" w:rsidRDefault="00751D91" w:rsidP="009F1468">
            <w:pPr>
              <w:autoSpaceDE w:val="0"/>
              <w:autoSpaceDN w:val="0"/>
              <w:adjustRightInd w:val="0"/>
              <w:jc w:val="center"/>
              <w:rPr>
                <w:rFonts w:ascii="Arial" w:hAnsi="Arial" w:cs="Arial"/>
                <w:b/>
                <w:bCs/>
                <w:sz w:val="20"/>
                <w:szCs w:val="20"/>
              </w:rPr>
            </w:pPr>
          </w:p>
        </w:tc>
        <w:tc>
          <w:tcPr>
            <w:tcW w:w="4297" w:type="dxa"/>
            <w:tcBorders>
              <w:top w:val="nil"/>
              <w:bottom w:val="nil"/>
            </w:tcBorders>
          </w:tcPr>
          <w:p w:rsidR="00751D91" w:rsidRDefault="00751D91" w:rsidP="009F1468">
            <w:pPr>
              <w:autoSpaceDE w:val="0"/>
              <w:autoSpaceDN w:val="0"/>
              <w:adjustRightInd w:val="0"/>
              <w:jc w:val="center"/>
              <w:rPr>
                <w:rFonts w:ascii="Arial" w:hAnsi="Arial" w:cs="Arial"/>
                <w:b/>
                <w:bCs/>
                <w:sz w:val="20"/>
                <w:szCs w:val="20"/>
              </w:rPr>
            </w:pPr>
          </w:p>
        </w:tc>
      </w:tr>
      <w:tr w:rsidR="00751D91" w:rsidTr="009F1468">
        <w:trPr>
          <w:jc w:val="center"/>
        </w:trPr>
        <w:tc>
          <w:tcPr>
            <w:tcW w:w="4106" w:type="dxa"/>
            <w:tcBorders>
              <w:top w:val="nil"/>
            </w:tcBorders>
          </w:tcPr>
          <w:p w:rsidR="00751D91" w:rsidRDefault="00751D91" w:rsidP="009F1468">
            <w:pPr>
              <w:autoSpaceDE w:val="0"/>
              <w:autoSpaceDN w:val="0"/>
              <w:adjustRightInd w:val="0"/>
              <w:jc w:val="center"/>
              <w:rPr>
                <w:rFonts w:ascii="Arial" w:hAnsi="Arial" w:cs="Arial"/>
                <w:b/>
                <w:bCs/>
                <w:sz w:val="20"/>
                <w:szCs w:val="20"/>
              </w:rPr>
            </w:pPr>
          </w:p>
        </w:tc>
        <w:tc>
          <w:tcPr>
            <w:tcW w:w="425" w:type="dxa"/>
            <w:tcBorders>
              <w:top w:val="nil"/>
              <w:bottom w:val="nil"/>
            </w:tcBorders>
          </w:tcPr>
          <w:p w:rsidR="00751D91" w:rsidRDefault="00751D91" w:rsidP="009F1468">
            <w:pPr>
              <w:autoSpaceDE w:val="0"/>
              <w:autoSpaceDN w:val="0"/>
              <w:adjustRightInd w:val="0"/>
              <w:jc w:val="center"/>
              <w:rPr>
                <w:rFonts w:ascii="Arial" w:hAnsi="Arial" w:cs="Arial"/>
                <w:b/>
                <w:bCs/>
                <w:sz w:val="20"/>
                <w:szCs w:val="20"/>
              </w:rPr>
            </w:pPr>
          </w:p>
        </w:tc>
        <w:tc>
          <w:tcPr>
            <w:tcW w:w="4297" w:type="dxa"/>
            <w:tcBorders>
              <w:top w:val="nil"/>
            </w:tcBorders>
          </w:tcPr>
          <w:p w:rsidR="00751D91" w:rsidRDefault="00751D91" w:rsidP="009F1468">
            <w:pPr>
              <w:autoSpaceDE w:val="0"/>
              <w:autoSpaceDN w:val="0"/>
              <w:adjustRightInd w:val="0"/>
              <w:jc w:val="center"/>
              <w:rPr>
                <w:rFonts w:ascii="Arial" w:hAnsi="Arial" w:cs="Arial"/>
                <w:b/>
                <w:bCs/>
                <w:sz w:val="20"/>
                <w:szCs w:val="20"/>
              </w:rPr>
            </w:pPr>
          </w:p>
        </w:tc>
      </w:tr>
      <w:tr w:rsidR="00751D91" w:rsidTr="009F1468">
        <w:trPr>
          <w:trHeight w:val="70"/>
          <w:jc w:val="center"/>
        </w:trPr>
        <w:tc>
          <w:tcPr>
            <w:tcW w:w="4106" w:type="dxa"/>
          </w:tcPr>
          <w:p w:rsidR="00751D91" w:rsidRPr="00210471" w:rsidRDefault="00751D91" w:rsidP="009F1468">
            <w:pPr>
              <w:autoSpaceDE w:val="0"/>
              <w:autoSpaceDN w:val="0"/>
              <w:adjustRightInd w:val="0"/>
              <w:jc w:val="center"/>
              <w:rPr>
                <w:rFonts w:ascii="Arial" w:hAnsi="Arial" w:cs="Arial"/>
                <w:b/>
                <w:bCs/>
                <w:sz w:val="20"/>
                <w:szCs w:val="20"/>
              </w:rPr>
            </w:pPr>
            <w:r w:rsidRPr="00210471">
              <w:rPr>
                <w:rFonts w:ascii="Arial" w:hAnsi="Arial" w:cs="Arial"/>
                <w:b/>
                <w:bCs/>
                <w:sz w:val="20"/>
                <w:szCs w:val="20"/>
              </w:rPr>
              <w:t>Mtra. Lucina Vargas Jaramillo</w:t>
            </w:r>
          </w:p>
          <w:p w:rsidR="00751D91" w:rsidRDefault="00751D91" w:rsidP="009F1468">
            <w:pPr>
              <w:autoSpaceDE w:val="0"/>
              <w:autoSpaceDN w:val="0"/>
              <w:adjustRightInd w:val="0"/>
              <w:jc w:val="center"/>
              <w:rPr>
                <w:rFonts w:ascii="Arial" w:hAnsi="Arial" w:cs="Arial"/>
                <w:b/>
                <w:bCs/>
                <w:sz w:val="20"/>
                <w:szCs w:val="20"/>
              </w:rPr>
            </w:pPr>
            <w:r w:rsidRPr="00210471">
              <w:rPr>
                <w:rFonts w:ascii="Arial" w:hAnsi="Arial" w:cs="Arial"/>
                <w:b/>
                <w:bCs/>
                <w:sz w:val="20"/>
                <w:szCs w:val="20"/>
              </w:rPr>
              <w:t>Presidenta del DIF Municipal Tejupilco</w:t>
            </w:r>
            <w:r>
              <w:rPr>
                <w:rFonts w:ascii="Arial" w:hAnsi="Arial" w:cs="Arial"/>
                <w:b/>
                <w:bCs/>
                <w:sz w:val="20"/>
                <w:szCs w:val="20"/>
              </w:rPr>
              <w:t xml:space="preserve">                                                 </w:t>
            </w:r>
          </w:p>
        </w:tc>
        <w:tc>
          <w:tcPr>
            <w:tcW w:w="425" w:type="dxa"/>
            <w:tcBorders>
              <w:top w:val="nil"/>
              <w:bottom w:val="nil"/>
            </w:tcBorders>
          </w:tcPr>
          <w:p w:rsidR="00751D91" w:rsidRDefault="00751D91" w:rsidP="009F1468">
            <w:pPr>
              <w:autoSpaceDE w:val="0"/>
              <w:autoSpaceDN w:val="0"/>
              <w:adjustRightInd w:val="0"/>
              <w:jc w:val="center"/>
              <w:rPr>
                <w:rFonts w:ascii="Arial" w:hAnsi="Arial" w:cs="Arial"/>
                <w:b/>
                <w:bCs/>
                <w:sz w:val="20"/>
                <w:szCs w:val="20"/>
              </w:rPr>
            </w:pPr>
          </w:p>
        </w:tc>
        <w:tc>
          <w:tcPr>
            <w:tcW w:w="4297" w:type="dxa"/>
          </w:tcPr>
          <w:p w:rsidR="00751D91" w:rsidRDefault="00751D91" w:rsidP="009F1468">
            <w:pPr>
              <w:autoSpaceDE w:val="0"/>
              <w:autoSpaceDN w:val="0"/>
              <w:adjustRightInd w:val="0"/>
              <w:jc w:val="center"/>
              <w:rPr>
                <w:rFonts w:ascii="Arial" w:hAnsi="Arial" w:cs="Arial"/>
                <w:b/>
                <w:bCs/>
                <w:sz w:val="20"/>
                <w:szCs w:val="20"/>
              </w:rPr>
            </w:pPr>
            <w:proofErr w:type="spellStart"/>
            <w:r>
              <w:rPr>
                <w:rFonts w:ascii="Arial" w:hAnsi="Arial" w:cs="Arial"/>
                <w:b/>
                <w:bCs/>
                <w:sz w:val="20"/>
                <w:szCs w:val="20"/>
              </w:rPr>
              <w:t>C.D</w:t>
            </w:r>
            <w:proofErr w:type="spellEnd"/>
            <w:r>
              <w:rPr>
                <w:rFonts w:ascii="Arial" w:hAnsi="Arial" w:cs="Arial"/>
                <w:b/>
                <w:bCs/>
                <w:sz w:val="20"/>
                <w:szCs w:val="20"/>
              </w:rPr>
              <w:t>. Laura Benítez Gómez</w:t>
            </w:r>
          </w:p>
          <w:p w:rsidR="00751D91" w:rsidRDefault="00751D91" w:rsidP="009F1468">
            <w:pPr>
              <w:autoSpaceDE w:val="0"/>
              <w:autoSpaceDN w:val="0"/>
              <w:adjustRightInd w:val="0"/>
              <w:jc w:val="center"/>
              <w:rPr>
                <w:rFonts w:ascii="Arial" w:hAnsi="Arial" w:cs="Arial"/>
                <w:b/>
                <w:bCs/>
                <w:sz w:val="20"/>
                <w:szCs w:val="20"/>
              </w:rPr>
            </w:pPr>
            <w:r>
              <w:rPr>
                <w:rFonts w:ascii="Arial" w:hAnsi="Arial" w:cs="Arial"/>
                <w:b/>
                <w:bCs/>
                <w:sz w:val="20"/>
                <w:szCs w:val="20"/>
              </w:rPr>
              <w:t>Directora del DIF Municipal Tejupilco</w:t>
            </w:r>
          </w:p>
        </w:tc>
      </w:tr>
    </w:tbl>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3"/>
      </w:tblGrid>
      <w:tr w:rsidR="00751D91" w:rsidTr="009F1468">
        <w:trPr>
          <w:trHeight w:val="1368"/>
          <w:jc w:val="center"/>
        </w:trPr>
        <w:tc>
          <w:tcPr>
            <w:tcW w:w="4673" w:type="dxa"/>
            <w:tcBorders>
              <w:top w:val="nil"/>
              <w:bottom w:val="nil"/>
            </w:tcBorders>
          </w:tcPr>
          <w:p w:rsidR="00751D91" w:rsidRDefault="00751D91" w:rsidP="009F1468">
            <w:pPr>
              <w:autoSpaceDE w:val="0"/>
              <w:autoSpaceDN w:val="0"/>
              <w:adjustRightInd w:val="0"/>
              <w:jc w:val="center"/>
              <w:rPr>
                <w:rFonts w:ascii="Arial" w:hAnsi="Arial" w:cs="Arial"/>
                <w:b/>
                <w:bCs/>
                <w:sz w:val="20"/>
                <w:szCs w:val="20"/>
              </w:rPr>
            </w:pPr>
          </w:p>
        </w:tc>
      </w:tr>
      <w:tr w:rsidR="00751D91" w:rsidTr="009F1468">
        <w:trPr>
          <w:jc w:val="center"/>
        </w:trPr>
        <w:tc>
          <w:tcPr>
            <w:tcW w:w="4673" w:type="dxa"/>
            <w:tcBorders>
              <w:top w:val="nil"/>
            </w:tcBorders>
          </w:tcPr>
          <w:p w:rsidR="00751D91" w:rsidRDefault="00751D91" w:rsidP="009F1468">
            <w:pPr>
              <w:autoSpaceDE w:val="0"/>
              <w:autoSpaceDN w:val="0"/>
              <w:adjustRightInd w:val="0"/>
              <w:jc w:val="center"/>
              <w:rPr>
                <w:rFonts w:ascii="Arial" w:hAnsi="Arial" w:cs="Arial"/>
                <w:b/>
                <w:bCs/>
                <w:sz w:val="20"/>
                <w:szCs w:val="20"/>
              </w:rPr>
            </w:pPr>
          </w:p>
        </w:tc>
      </w:tr>
      <w:tr w:rsidR="00751D91" w:rsidTr="009F1468">
        <w:trPr>
          <w:jc w:val="center"/>
        </w:trPr>
        <w:tc>
          <w:tcPr>
            <w:tcW w:w="4673" w:type="dxa"/>
          </w:tcPr>
          <w:p w:rsidR="00751D91" w:rsidRDefault="00751D91" w:rsidP="009F1468">
            <w:pPr>
              <w:autoSpaceDE w:val="0"/>
              <w:autoSpaceDN w:val="0"/>
              <w:adjustRightInd w:val="0"/>
              <w:jc w:val="center"/>
              <w:rPr>
                <w:rFonts w:ascii="Arial" w:hAnsi="Arial" w:cs="Arial"/>
                <w:b/>
                <w:bCs/>
                <w:sz w:val="20"/>
                <w:szCs w:val="20"/>
              </w:rPr>
            </w:pPr>
            <w:r>
              <w:rPr>
                <w:rFonts w:ascii="Arial" w:hAnsi="Arial" w:cs="Arial"/>
                <w:b/>
                <w:bCs/>
                <w:sz w:val="20"/>
                <w:szCs w:val="20"/>
              </w:rPr>
              <w:t>Lic. Rogelio Sánchez Gabino</w:t>
            </w:r>
          </w:p>
          <w:p w:rsidR="00751D91" w:rsidRDefault="00751D91" w:rsidP="009F1468">
            <w:pPr>
              <w:autoSpaceDE w:val="0"/>
              <w:autoSpaceDN w:val="0"/>
              <w:adjustRightInd w:val="0"/>
              <w:jc w:val="center"/>
              <w:rPr>
                <w:rFonts w:ascii="Arial" w:hAnsi="Arial" w:cs="Arial"/>
                <w:b/>
                <w:bCs/>
                <w:sz w:val="20"/>
                <w:szCs w:val="20"/>
              </w:rPr>
            </w:pPr>
            <w:r>
              <w:rPr>
                <w:rFonts w:ascii="Arial" w:hAnsi="Arial" w:cs="Arial"/>
                <w:b/>
                <w:bCs/>
                <w:sz w:val="20"/>
                <w:szCs w:val="20"/>
              </w:rPr>
              <w:t>Tesorero del DIF Municipal Tejupilco</w:t>
            </w:r>
          </w:p>
        </w:tc>
      </w:tr>
    </w:tbl>
    <w:p w:rsidR="000D0DD6" w:rsidRDefault="000D0DD6" w:rsidP="000D0DD6"/>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p w:rsidR="00751D91" w:rsidRDefault="00751D91" w:rsidP="00751D91">
      <w:pPr>
        <w:autoSpaceDE w:val="0"/>
        <w:autoSpaceDN w:val="0"/>
        <w:adjustRightInd w:val="0"/>
        <w:spacing w:after="0" w:line="240" w:lineRule="auto"/>
        <w:jc w:val="right"/>
        <w:rPr>
          <w:rFonts w:ascii="Arial" w:hAnsi="Arial" w:cs="Arial"/>
          <w:b/>
          <w:bCs/>
          <w:sz w:val="20"/>
          <w:szCs w:val="20"/>
        </w:rPr>
      </w:pPr>
    </w:p>
    <w:sectPr w:rsidR="00751D91" w:rsidSect="00210471">
      <w:footerReference w:type="default" r:id="rId7"/>
      <w:pgSz w:w="12240" w:h="15840" w:code="1"/>
      <w:pgMar w:top="1610" w:right="1469" w:bottom="1701"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EB" w:rsidRDefault="00B707EB" w:rsidP="000D0DD6">
      <w:pPr>
        <w:spacing w:after="0" w:line="240" w:lineRule="auto"/>
      </w:pPr>
      <w:r>
        <w:separator/>
      </w:r>
    </w:p>
  </w:endnote>
  <w:endnote w:type="continuationSeparator" w:id="0">
    <w:p w:rsidR="00B707EB" w:rsidRDefault="00B707EB" w:rsidP="000D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6A6" w:rsidRPr="00B971CB" w:rsidRDefault="00210471">
    <w:pPr>
      <w:pStyle w:val="Piedepgina"/>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EB" w:rsidRDefault="00B707EB" w:rsidP="000D0DD6">
      <w:pPr>
        <w:spacing w:after="0" w:line="240" w:lineRule="auto"/>
      </w:pPr>
      <w:r>
        <w:separator/>
      </w:r>
    </w:p>
  </w:footnote>
  <w:footnote w:type="continuationSeparator" w:id="0">
    <w:p w:rsidR="00B707EB" w:rsidRDefault="00B707EB" w:rsidP="000D0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84440"/>
    <w:multiLevelType w:val="hybridMultilevel"/>
    <w:tmpl w:val="597C6486"/>
    <w:lvl w:ilvl="0" w:tplc="E96EA580">
      <w:start w:val="1"/>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A440787"/>
    <w:multiLevelType w:val="hybridMultilevel"/>
    <w:tmpl w:val="E8581FEC"/>
    <w:lvl w:ilvl="0" w:tplc="B1B28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D6"/>
    <w:rsid w:val="000D0DD6"/>
    <w:rsid w:val="00210471"/>
    <w:rsid w:val="00242E11"/>
    <w:rsid w:val="003B4F5C"/>
    <w:rsid w:val="004532CC"/>
    <w:rsid w:val="00590369"/>
    <w:rsid w:val="00751D91"/>
    <w:rsid w:val="00AC2422"/>
    <w:rsid w:val="00B514DE"/>
    <w:rsid w:val="00B707EB"/>
    <w:rsid w:val="00DB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92D69-9642-4924-9C38-7F5FED39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D6"/>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D0D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DD6"/>
    <w:rPr>
      <w:rFonts w:eastAsiaTheme="minorEastAsia"/>
      <w:lang w:eastAsia="es-MX"/>
    </w:rPr>
  </w:style>
  <w:style w:type="paragraph" w:styleId="Prrafodelista">
    <w:name w:val="List Paragraph"/>
    <w:basedOn w:val="Normal"/>
    <w:uiPriority w:val="34"/>
    <w:qFormat/>
    <w:rsid w:val="000D0DD6"/>
    <w:pPr>
      <w:ind w:left="720"/>
      <w:contextualSpacing/>
    </w:pPr>
  </w:style>
  <w:style w:type="paragraph" w:styleId="Encabezado">
    <w:name w:val="header"/>
    <w:basedOn w:val="Normal"/>
    <w:link w:val="EncabezadoCar"/>
    <w:uiPriority w:val="99"/>
    <w:unhideWhenUsed/>
    <w:rsid w:val="000D0D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DD6"/>
    <w:rPr>
      <w:rFonts w:eastAsiaTheme="minorEastAsia"/>
      <w:lang w:eastAsia="es-MX"/>
    </w:rPr>
  </w:style>
  <w:style w:type="paragraph" w:styleId="Textodeglobo">
    <w:name w:val="Balloon Text"/>
    <w:basedOn w:val="Normal"/>
    <w:link w:val="TextodegloboCar"/>
    <w:uiPriority w:val="99"/>
    <w:semiHidden/>
    <w:unhideWhenUsed/>
    <w:rsid w:val="000D0D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DD6"/>
    <w:rPr>
      <w:rFonts w:ascii="Tahoma" w:eastAsiaTheme="minorEastAsia" w:hAnsi="Tahoma" w:cs="Tahoma"/>
      <w:sz w:val="16"/>
      <w:szCs w:val="16"/>
      <w:lang w:eastAsia="es-MX"/>
    </w:rPr>
  </w:style>
  <w:style w:type="table" w:styleId="Tablaconcuadrcula">
    <w:name w:val="Table Grid"/>
    <w:basedOn w:val="Tablanormal"/>
    <w:uiPriority w:val="39"/>
    <w:rsid w:val="0075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1021</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TELLO MONTES</dc:creator>
  <cp:lastModifiedBy>CONTABILIDAD</cp:lastModifiedBy>
  <cp:revision>5</cp:revision>
  <cp:lastPrinted>2019-03-13T18:06:00Z</cp:lastPrinted>
  <dcterms:created xsi:type="dcterms:W3CDTF">2019-02-27T18:12:00Z</dcterms:created>
  <dcterms:modified xsi:type="dcterms:W3CDTF">2019-03-13T18:06:00Z</dcterms:modified>
</cp:coreProperties>
</file>